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66" w:rsidRDefault="001C2166">
      <w:pPr>
        <w:pStyle w:val="Standard"/>
        <w:jc w:val="center"/>
        <w:rPr>
          <w:rFonts w:hint="eastAsia"/>
        </w:rPr>
      </w:pPr>
    </w:p>
    <w:p w:rsidR="001C2166" w:rsidRDefault="00D53BEE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Attestation de déplacement dérogatoire</w:t>
      </w:r>
    </w:p>
    <w:p w:rsidR="001C2166" w:rsidRDefault="001C2166">
      <w:pPr>
        <w:pStyle w:val="Standard"/>
        <w:rPr>
          <w:rFonts w:ascii="Arial" w:hAnsi="Arial"/>
        </w:rPr>
      </w:pPr>
    </w:p>
    <w:p w:rsidR="001C2166" w:rsidRDefault="001C2166">
      <w:pPr>
        <w:pStyle w:val="Standard"/>
        <w:rPr>
          <w:rFonts w:ascii="Arial" w:hAnsi="Arial"/>
        </w:rPr>
      </w:pPr>
    </w:p>
    <w:p w:rsidR="001C2166" w:rsidRDefault="00D53BEE">
      <w:pPr>
        <w:pStyle w:val="Standard"/>
        <w:jc w:val="both"/>
        <w:rPr>
          <w:rFonts w:hint="eastAsia"/>
        </w:rPr>
      </w:pPr>
      <w:r>
        <w:rPr>
          <w:rFonts w:ascii="Arial" w:hAnsi="Arial" w:cs="Arial"/>
        </w:rPr>
        <w:t xml:space="preserve">En application du décret n° 2021-384 du </w:t>
      </w:r>
      <w:r>
        <w:rPr>
          <w:rStyle w:val="StrongEmphasis"/>
          <w:rFonts w:ascii="Arial" w:hAnsi="Arial" w:cs="Arial"/>
          <w:b w:val="0"/>
          <w:bCs w:val="0"/>
        </w:rPr>
        <w:t>2 avril 2021</w:t>
      </w:r>
      <w:r>
        <w:rPr>
          <w:rFonts w:ascii="Arial" w:hAnsi="Arial" w:cs="Arial"/>
        </w:rPr>
        <w:t xml:space="preserve"> modifiant les décrets n° 2020-1262 du 16 octobre 2020 et n° 2020-1310 du 29 octobre 2020 prescrivant les mesures générales nécessaires pour faire face à l'épidémie de covid-19 dans le cadre de l'état d'urgence sanitaire,</w:t>
      </w:r>
    </w:p>
    <w:p w:rsidR="001C2166" w:rsidRDefault="001C2166">
      <w:pPr>
        <w:pStyle w:val="Standard"/>
        <w:rPr>
          <w:rFonts w:ascii="Arial" w:hAnsi="Arial"/>
        </w:rPr>
      </w:pPr>
    </w:p>
    <w:p w:rsidR="001C2166" w:rsidRDefault="00D53BEE">
      <w:pPr>
        <w:pStyle w:val="Standard"/>
        <w:rPr>
          <w:rFonts w:ascii="Arial" w:hAnsi="Arial"/>
        </w:rPr>
      </w:pPr>
      <w:r>
        <w:rPr>
          <w:rFonts w:ascii="Arial" w:hAnsi="Arial"/>
        </w:rPr>
        <w:t>Je soussigné(e), Mme/M. :</w:t>
      </w:r>
    </w:p>
    <w:p w:rsidR="001C2166" w:rsidRDefault="00D53BEE">
      <w:pPr>
        <w:pStyle w:val="Standard"/>
        <w:rPr>
          <w:rFonts w:ascii="Arial" w:hAnsi="Arial"/>
        </w:rPr>
      </w:pPr>
      <w:r>
        <w:rPr>
          <w:rFonts w:ascii="Arial" w:hAnsi="Arial"/>
        </w:rPr>
        <w:t>Né(e) l</w:t>
      </w:r>
      <w:r>
        <w:rPr>
          <w:rFonts w:ascii="Arial" w:hAnsi="Arial"/>
        </w:rPr>
        <w:t>e :</w:t>
      </w:r>
    </w:p>
    <w:p w:rsidR="001C2166" w:rsidRDefault="00D53BEE">
      <w:pPr>
        <w:pStyle w:val="Standard"/>
        <w:rPr>
          <w:rFonts w:ascii="Arial" w:hAnsi="Arial"/>
        </w:rPr>
      </w:pPr>
      <w:r>
        <w:rPr>
          <w:rFonts w:ascii="Arial" w:hAnsi="Arial"/>
        </w:rPr>
        <w:t>Demeurant :</w:t>
      </w:r>
    </w:p>
    <w:p w:rsidR="001C2166" w:rsidRDefault="001C2166">
      <w:pPr>
        <w:pStyle w:val="Standard"/>
        <w:rPr>
          <w:rFonts w:ascii="Arial" w:hAnsi="Arial"/>
        </w:rPr>
      </w:pPr>
    </w:p>
    <w:p w:rsidR="001C2166" w:rsidRDefault="00D53BEE" w:rsidP="0086698E">
      <w:pPr>
        <w:pStyle w:val="Standard"/>
        <w:ind w:right="-285"/>
        <w:jc w:val="both"/>
        <w:rPr>
          <w:rFonts w:hint="eastAsia"/>
        </w:rPr>
      </w:pPr>
      <w:r>
        <w:rPr>
          <w:rFonts w:ascii="Arial" w:hAnsi="Arial"/>
        </w:rPr>
        <w:t xml:space="preserve">Certifie que mon déplacement est destiné à la </w:t>
      </w:r>
      <w:r>
        <w:rPr>
          <w:rFonts w:ascii="Arial" w:hAnsi="Arial"/>
          <w:b/>
          <w:bCs/>
        </w:rPr>
        <w:t xml:space="preserve">participation </w:t>
      </w:r>
      <w:r w:rsidR="0086698E">
        <w:rPr>
          <w:rFonts w:ascii="Arial" w:hAnsi="Arial"/>
          <w:b/>
          <w:bCs/>
        </w:rPr>
        <w:t>au rassemblement</w:t>
      </w:r>
      <w:r>
        <w:rPr>
          <w:rFonts w:ascii="Arial" w:hAnsi="Arial"/>
          <w:b/>
          <w:bCs/>
        </w:rPr>
        <w:t xml:space="preserve"> sur la voie publique</w:t>
      </w:r>
      <w:r>
        <w:rPr>
          <w:rFonts w:ascii="Arial" w:hAnsi="Arial"/>
        </w:rPr>
        <w:t xml:space="preserve"> visée par l’article 3 modifié du décret n°2020-1310 du 29 octobre 2020 susvisé lequel autorise les déplacements liés aux « </w:t>
      </w:r>
      <w:r>
        <w:rPr>
          <w:rFonts w:ascii="Arial" w:hAnsi="Arial"/>
          <w:i/>
          <w:iCs/>
        </w:rPr>
        <w:t>manifestations s</w:t>
      </w:r>
      <w:r>
        <w:rPr>
          <w:rFonts w:ascii="Arial" w:hAnsi="Arial"/>
          <w:i/>
          <w:iCs/>
        </w:rPr>
        <w:t>ur la voie publique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i/>
          <w:iCs/>
        </w:rPr>
        <w:t>mentionnées à l'article L. 211-1 du code de la sécurité intérieure pour lesquelles leurs organisateurs ont adressé à l’autorité administrative compétente une déclaration […] </w:t>
      </w:r>
      <w:r>
        <w:rPr>
          <w:rFonts w:ascii="Arial" w:hAnsi="Arial"/>
        </w:rPr>
        <w:t>».</w:t>
      </w:r>
    </w:p>
    <w:p w:rsidR="001C2166" w:rsidRDefault="001C2166">
      <w:pPr>
        <w:pStyle w:val="Standard"/>
        <w:jc w:val="both"/>
        <w:rPr>
          <w:rFonts w:ascii="Arial" w:hAnsi="Arial"/>
        </w:rPr>
      </w:pPr>
    </w:p>
    <w:p w:rsidR="001C2166" w:rsidRDefault="00D53BEE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Il est rappelé que ce déplacement s’effectue dans les cond</w:t>
      </w:r>
      <w:r>
        <w:rPr>
          <w:rFonts w:ascii="Arial" w:hAnsi="Arial"/>
        </w:rPr>
        <w:t xml:space="preserve">itions édictées par l’article 4, paragraphe II, alinéa 7°) du décret 2020-1310 modifié susvisé lequel liste comme exception à l’interdiction de déplacement entre 6h et 19h </w:t>
      </w:r>
      <w:r>
        <w:rPr>
          <w:rFonts w:ascii="Arial" w:hAnsi="Arial"/>
          <w:i/>
          <w:iCs/>
        </w:rPr>
        <w:t xml:space="preserve">« la </w:t>
      </w:r>
      <w:r>
        <w:rPr>
          <w:rFonts w:ascii="Arial" w:hAnsi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articipation à des rassemblements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, réunions ou activités sur la voie 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>publique ou dans un lieu ouvert au public qui ne sont pas interdits en application de l'article 3</w:t>
      </w:r>
      <w:r>
        <w:rPr>
          <w:rFonts w:ascii="Arial" w:hAnsi="Arial" w:cs="Arial"/>
          <w:color w:val="333333"/>
          <w:shd w:val="clear" w:color="auto" w:fill="FFFFFF"/>
        </w:rPr>
        <w:t> ».</w:t>
      </w:r>
    </w:p>
    <w:p w:rsidR="001C2166" w:rsidRDefault="001C2166">
      <w:pPr>
        <w:pStyle w:val="Standard"/>
        <w:rPr>
          <w:rFonts w:ascii="Arial" w:hAnsi="Arial" w:cs="Arial"/>
          <w:i/>
          <w:iCs/>
        </w:rPr>
      </w:pPr>
    </w:p>
    <w:p w:rsidR="001C2166" w:rsidRDefault="001C2166">
      <w:pPr>
        <w:pStyle w:val="Standard"/>
        <w:rPr>
          <w:rFonts w:ascii="Arial" w:hAnsi="Arial"/>
        </w:rPr>
      </w:pPr>
    </w:p>
    <w:p w:rsidR="001C2166" w:rsidRDefault="00D53BEE" w:rsidP="0086698E">
      <w:pPr>
        <w:pStyle w:val="Standard"/>
        <w:tabs>
          <w:tab w:val="left" w:pos="6135"/>
        </w:tabs>
        <w:rPr>
          <w:rFonts w:ascii="Arial" w:hAnsi="Arial"/>
        </w:rPr>
      </w:pPr>
      <w:r>
        <w:rPr>
          <w:rFonts w:ascii="Arial" w:hAnsi="Arial"/>
          <w:b/>
          <w:bCs/>
        </w:rPr>
        <w:t xml:space="preserve">Rassemblement du </w:t>
      </w:r>
      <w:r w:rsidR="0086698E">
        <w:rPr>
          <w:rFonts w:ascii="Arial" w:hAnsi="Arial"/>
          <w:b/>
          <w:bCs/>
        </w:rPr>
        <w:t>14 avril 2021 de 9h30 à 13h00,</w:t>
      </w:r>
      <w:r w:rsidR="0086698E">
        <w:rPr>
          <w:rFonts w:ascii="Arial" w:hAnsi="Arial"/>
          <w:b/>
          <w:bCs/>
        </w:rPr>
        <w:br/>
        <w:t xml:space="preserve">sur le parvis du Tribunal Judiciaire de Bobigny, </w:t>
      </w:r>
      <w:r w:rsidR="0086698E">
        <w:rPr>
          <w:rFonts w:ascii="Arial" w:hAnsi="Arial"/>
          <w:b/>
          <w:bCs/>
        </w:rPr>
        <w:br/>
      </w:r>
      <w:r w:rsidR="0086698E">
        <w:rPr>
          <w:rFonts w:ascii="Arial" w:hAnsi="Arial"/>
        </w:rPr>
        <w:t>Rassemblement dans le cadre de l'audience opposant</w:t>
      </w:r>
      <w:r w:rsidR="0086698E">
        <w:rPr>
          <w:rFonts w:ascii="Arial" w:hAnsi="Arial"/>
        </w:rPr>
        <w:br/>
        <w:t>l'UNSA-SAPAP à la Direction d'Aéroports de Paris (Groupe ADP).</w:t>
      </w:r>
    </w:p>
    <w:p w:rsidR="0086698E" w:rsidRDefault="0086698E" w:rsidP="0086698E">
      <w:pPr>
        <w:pStyle w:val="Standard"/>
        <w:tabs>
          <w:tab w:val="left" w:pos="6135"/>
        </w:tabs>
        <w:rPr>
          <w:rFonts w:ascii="Arial" w:hAnsi="Arial"/>
        </w:rPr>
      </w:pPr>
      <w:bookmarkStart w:id="0" w:name="_GoBack"/>
      <w:bookmarkEnd w:id="0"/>
    </w:p>
    <w:p w:rsidR="0086698E" w:rsidRDefault="0086698E" w:rsidP="0086698E">
      <w:pPr>
        <w:pStyle w:val="Standard"/>
        <w:rPr>
          <w:rFonts w:hint="eastAsia"/>
        </w:rPr>
      </w:pPr>
      <w:r>
        <w:rPr>
          <w:rFonts w:ascii="Arial" w:hAnsi="Arial"/>
        </w:rPr>
        <w:t>Le rassemblement a été déclaré auprès de la Préfecture de Bobigny</w:t>
      </w:r>
    </w:p>
    <w:p w:rsidR="001C2166" w:rsidRDefault="001C2166">
      <w:pPr>
        <w:pStyle w:val="Standard"/>
        <w:rPr>
          <w:rFonts w:ascii="Arial" w:hAnsi="Arial"/>
          <w:b/>
          <w:bCs/>
        </w:rPr>
      </w:pPr>
    </w:p>
    <w:p w:rsidR="001C2166" w:rsidRDefault="001C2166">
      <w:pPr>
        <w:pStyle w:val="Standard"/>
        <w:rPr>
          <w:rFonts w:ascii="Arial" w:hAnsi="Arial"/>
        </w:rPr>
      </w:pPr>
    </w:p>
    <w:p w:rsidR="001C2166" w:rsidRDefault="00D53BEE">
      <w:pPr>
        <w:pStyle w:val="Standard"/>
        <w:rPr>
          <w:rFonts w:ascii="Arial" w:hAnsi="Arial"/>
        </w:rPr>
      </w:pPr>
      <w:r>
        <w:rPr>
          <w:rFonts w:ascii="Arial" w:hAnsi="Arial"/>
        </w:rPr>
        <w:t>Fait à :</w:t>
      </w:r>
    </w:p>
    <w:p w:rsidR="001C2166" w:rsidRDefault="001C2166">
      <w:pPr>
        <w:pStyle w:val="Standard"/>
        <w:rPr>
          <w:rFonts w:ascii="Arial" w:hAnsi="Arial"/>
        </w:rPr>
      </w:pPr>
    </w:p>
    <w:p w:rsidR="001C2166" w:rsidRDefault="00D53BEE">
      <w:pPr>
        <w:pStyle w:val="Standard"/>
        <w:rPr>
          <w:rFonts w:ascii="Arial" w:hAnsi="Arial"/>
        </w:rPr>
      </w:pPr>
      <w:r>
        <w:rPr>
          <w:rFonts w:ascii="Arial" w:hAnsi="Arial"/>
        </w:rPr>
        <w:t>Le</w:t>
      </w:r>
    </w:p>
    <w:p w:rsidR="001C2166" w:rsidRDefault="001C2166">
      <w:pPr>
        <w:pStyle w:val="Standard"/>
        <w:rPr>
          <w:rFonts w:ascii="Arial" w:hAnsi="Arial"/>
        </w:rPr>
      </w:pPr>
    </w:p>
    <w:p w:rsidR="001C2166" w:rsidRDefault="001C2166">
      <w:pPr>
        <w:pStyle w:val="Standard"/>
        <w:rPr>
          <w:rFonts w:ascii="Arial" w:hAnsi="Arial"/>
        </w:rPr>
      </w:pPr>
    </w:p>
    <w:p w:rsidR="001C2166" w:rsidRDefault="00D53BEE">
      <w:pPr>
        <w:pStyle w:val="Standard"/>
        <w:rPr>
          <w:rFonts w:ascii="Arial" w:hAnsi="Arial"/>
        </w:rPr>
      </w:pPr>
      <w:r>
        <w:rPr>
          <w:rFonts w:ascii="Arial" w:hAnsi="Arial"/>
        </w:rPr>
        <w:t>Signature</w:t>
      </w:r>
    </w:p>
    <w:p w:rsidR="001C2166" w:rsidRDefault="001C2166">
      <w:pPr>
        <w:pStyle w:val="Standard"/>
        <w:rPr>
          <w:rFonts w:ascii="Arial" w:hAnsi="Arial"/>
        </w:rPr>
      </w:pPr>
    </w:p>
    <w:p w:rsidR="001C2166" w:rsidRDefault="001C2166">
      <w:pPr>
        <w:pStyle w:val="Standard"/>
        <w:rPr>
          <w:rFonts w:ascii="Arial" w:hAnsi="Arial"/>
        </w:rPr>
      </w:pPr>
    </w:p>
    <w:p w:rsidR="001C2166" w:rsidRDefault="001C2166">
      <w:pPr>
        <w:pStyle w:val="Standard"/>
        <w:rPr>
          <w:rFonts w:ascii="Arial" w:hAnsi="Arial"/>
        </w:rPr>
      </w:pPr>
    </w:p>
    <w:p w:rsidR="001C2166" w:rsidRDefault="001C2166">
      <w:pPr>
        <w:pStyle w:val="Standard"/>
        <w:rPr>
          <w:rFonts w:ascii="Arial" w:hAnsi="Arial"/>
        </w:rPr>
      </w:pPr>
    </w:p>
    <w:p w:rsidR="001C2166" w:rsidRDefault="00D53BEE">
      <w:pPr>
        <w:pStyle w:val="Standard"/>
        <w:jc w:val="both"/>
        <w:rPr>
          <w:rFonts w:hint="eastAsia"/>
        </w:rPr>
      </w:pPr>
      <w:r>
        <w:rPr>
          <w:rFonts w:ascii="Arial" w:hAnsi="Arial" w:cs="Arial"/>
          <w:i/>
          <w:iCs/>
        </w:rPr>
        <w:t>Le juge des référés du Conseil d’Etat a jugé que le déplacement dérogatoire pour manifester était nécessairement inclus dans la possibilité de manifester organisée par l’article 3, sous réserve d’indiquer sur</w:t>
      </w:r>
      <w:r>
        <w:rPr>
          <w:rFonts w:ascii="Arial" w:hAnsi="Arial" w:cs="Arial"/>
          <w:i/>
          <w:iCs/>
        </w:rPr>
        <w:t xml:space="preserve"> son attestation l’heure, le lieu </w:t>
      </w:r>
      <w:proofErr w:type="spellStart"/>
      <w:r>
        <w:rPr>
          <w:rFonts w:ascii="Arial" w:hAnsi="Arial" w:cs="Arial"/>
          <w:i/>
          <w:iCs/>
        </w:rPr>
        <w:t>ou</w:t>
      </w:r>
      <w:proofErr w:type="spellEnd"/>
      <w:r>
        <w:rPr>
          <w:rFonts w:ascii="Arial" w:hAnsi="Arial" w:cs="Arial"/>
          <w:i/>
          <w:iCs/>
        </w:rPr>
        <w:t xml:space="preserve"> l’itinéraire de la manifestation (Décision CE 21 novembre 2020 n°446629).</w:t>
      </w:r>
    </w:p>
    <w:sectPr w:rsidR="001C2166" w:rsidSect="0086698E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EE" w:rsidRDefault="00D53BEE">
      <w:pPr>
        <w:rPr>
          <w:rFonts w:hint="eastAsia"/>
        </w:rPr>
      </w:pPr>
      <w:r>
        <w:separator/>
      </w:r>
    </w:p>
  </w:endnote>
  <w:endnote w:type="continuationSeparator" w:id="0">
    <w:p w:rsidR="00D53BEE" w:rsidRDefault="00D53B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EE" w:rsidRDefault="00D53B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3BEE" w:rsidRDefault="00D53B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2166"/>
    <w:rsid w:val="001C2166"/>
    <w:rsid w:val="0086698E"/>
    <w:rsid w:val="00D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E334"/>
  <w15:docId w15:val="{658BB215-7F24-4A7E-B1E8-F4F6BAE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Local/Temp/attestation_de_deplacement_derogatoire_manif_3eme_confinement_rectifiee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 LAMBERT</dc:creator>
  <cp:lastModifiedBy>HERTEVENT Laurent</cp:lastModifiedBy>
  <cp:revision>2</cp:revision>
  <dcterms:created xsi:type="dcterms:W3CDTF">2021-04-13T08:40:00Z</dcterms:created>
  <dcterms:modified xsi:type="dcterms:W3CDTF">2021-04-13T08:40:00Z</dcterms:modified>
</cp:coreProperties>
</file>